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0A883" w14:textId="4A852810" w:rsidR="00DA01F5" w:rsidRDefault="00DA01F5" w:rsidP="00AF6F8E">
      <w:pPr>
        <w:adjustRightInd/>
        <w:spacing w:line="318" w:lineRule="exact"/>
        <w:rPr>
          <w:rFonts w:ascii="ＭＳ 明朝" w:cs="Times New Roman"/>
          <w:spacing w:val="4"/>
        </w:rPr>
      </w:pPr>
      <w:r>
        <w:rPr>
          <w:rFonts w:hint="eastAsia"/>
          <w:sz w:val="24"/>
          <w:szCs w:val="24"/>
        </w:rPr>
        <w:t>（別添</w:t>
      </w:r>
      <w:r w:rsidR="00716B83">
        <w:rPr>
          <w:rFonts w:hint="eastAsia"/>
          <w:sz w:val="24"/>
          <w:szCs w:val="24"/>
        </w:rPr>
        <w:t>１</w:t>
      </w:r>
      <w:r>
        <w:rPr>
          <w:rFonts w:hint="eastAsia"/>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7"/>
      </w:tblGrid>
      <w:tr w:rsidR="00DA01F5" w14:paraId="612262D5" w14:textId="77777777">
        <w:tc>
          <w:tcPr>
            <w:tcW w:w="8957" w:type="dxa"/>
            <w:tcBorders>
              <w:top w:val="single" w:sz="4" w:space="0" w:color="000000"/>
              <w:left w:val="single" w:sz="4" w:space="0" w:color="000000"/>
              <w:bottom w:val="single" w:sz="4" w:space="0" w:color="000000"/>
              <w:right w:val="single" w:sz="4" w:space="0" w:color="000000"/>
            </w:tcBorders>
          </w:tcPr>
          <w:p w14:paraId="1E71FF89" w14:textId="77777777" w:rsidR="00DA01F5" w:rsidRDefault="00301A54" w:rsidP="00641CB1">
            <w:pPr>
              <w:suppressAutoHyphens/>
              <w:kinsoku w:val="0"/>
              <w:wordWrap w:val="0"/>
              <w:autoSpaceDE w:val="0"/>
              <w:autoSpaceDN w:val="0"/>
              <w:spacing w:line="298" w:lineRule="exact"/>
              <w:jc w:val="left"/>
              <w:rPr>
                <w:rFonts w:ascii="ＭＳ 明朝" w:cs="Times New Roman"/>
                <w:spacing w:val="4"/>
              </w:rPr>
            </w:pPr>
            <w:r>
              <w:rPr>
                <w:rFonts w:hint="eastAsia"/>
              </w:rPr>
              <w:t>令和</w:t>
            </w:r>
            <w:r w:rsidR="00FD22EF">
              <w:rPr>
                <w:rFonts w:hint="eastAsia"/>
              </w:rPr>
              <w:t>６</w:t>
            </w:r>
            <w:r w:rsidR="00992DC2">
              <w:rPr>
                <w:rFonts w:hint="eastAsia"/>
              </w:rPr>
              <w:t>年</w:t>
            </w:r>
            <w:r w:rsidR="00DA01F5">
              <w:rPr>
                <w:rFonts w:hint="eastAsia"/>
              </w:rPr>
              <w:t>度老人保健健康増進等事業</w:t>
            </w:r>
          </w:p>
          <w:p w14:paraId="38979293" w14:textId="77777777" w:rsidR="00DA01F5" w:rsidRDefault="00DA01F5" w:rsidP="00AF6F8E">
            <w:pPr>
              <w:suppressAutoHyphens/>
              <w:kinsoku w:val="0"/>
              <w:wordWrap w:val="0"/>
              <w:autoSpaceDE w:val="0"/>
              <w:autoSpaceDN w:val="0"/>
              <w:spacing w:line="298" w:lineRule="exact"/>
              <w:rPr>
                <w:rFonts w:ascii="ＭＳ 明朝" w:cs="Times New Roman"/>
                <w:spacing w:val="4"/>
              </w:rPr>
            </w:pPr>
          </w:p>
          <w:p w14:paraId="29DEE0C1" w14:textId="7A8AF0E7" w:rsidR="00DA01F5" w:rsidRDefault="00AF6F8E">
            <w:pPr>
              <w:suppressAutoHyphens/>
              <w:kinsoku w:val="0"/>
              <w:wordWrap w:val="0"/>
              <w:autoSpaceDE w:val="0"/>
              <w:autoSpaceDN w:val="0"/>
              <w:spacing w:line="298" w:lineRule="exact"/>
              <w:jc w:val="center"/>
            </w:pPr>
            <w:r w:rsidRPr="00AF6F8E">
              <w:rPr>
                <w:rFonts w:hint="eastAsia"/>
              </w:rPr>
              <w:t>通いの場などの介護予防に資する取組の効果的な普及啓発の手法に関する調査研究事業</w:t>
            </w:r>
          </w:p>
          <w:p w14:paraId="6369776D" w14:textId="367B1816" w:rsidR="00AF6F8E" w:rsidRDefault="00AF6F8E" w:rsidP="00AF6F8E">
            <w:pPr>
              <w:suppressAutoHyphens/>
              <w:kinsoku w:val="0"/>
              <w:autoSpaceDE w:val="0"/>
              <w:autoSpaceDN w:val="0"/>
              <w:spacing w:line="298" w:lineRule="exact"/>
              <w:jc w:val="right"/>
              <w:rPr>
                <w:rFonts w:ascii="ＭＳ 明朝" w:cs="Times New Roman"/>
                <w:spacing w:val="4"/>
              </w:rPr>
            </w:pPr>
            <w:r w:rsidRPr="00AF6F8E">
              <w:rPr>
                <w:rFonts w:ascii="ＭＳ 明朝" w:cs="Times New Roman" w:hint="eastAsia"/>
                <w:spacing w:val="4"/>
              </w:rPr>
              <w:t>一般社団法人　日本老年学的評価研究</w:t>
            </w:r>
            <w:r>
              <w:rPr>
                <w:rFonts w:ascii="ＭＳ 明朝" w:cs="Times New Roman" w:hint="eastAsia"/>
                <w:spacing w:val="4"/>
              </w:rPr>
              <w:t>機構</w:t>
            </w:r>
          </w:p>
          <w:p w14:paraId="09A630D1" w14:textId="0B761A66" w:rsidR="00AF6F8E" w:rsidRPr="00176206" w:rsidRDefault="00AF6F8E" w:rsidP="00AF6F8E">
            <w:pPr>
              <w:suppressAutoHyphens/>
              <w:kinsoku w:val="0"/>
              <w:autoSpaceDE w:val="0"/>
              <w:autoSpaceDN w:val="0"/>
              <w:spacing w:line="298" w:lineRule="exact"/>
              <w:jc w:val="left"/>
              <w:rPr>
                <w:rFonts w:ascii="ＭＳ 明朝" w:cs="Times New Roman"/>
                <w:b/>
                <w:bCs/>
                <w:spacing w:val="4"/>
              </w:rPr>
            </w:pPr>
            <w:r w:rsidRPr="00176206">
              <w:rPr>
                <w:rFonts w:ascii="ＭＳ 明朝" w:cs="Times New Roman" w:hint="eastAsia"/>
                <w:b/>
                <w:bCs/>
                <w:spacing w:val="4"/>
              </w:rPr>
              <w:t>【目的】</w:t>
            </w:r>
          </w:p>
          <w:p w14:paraId="395BF055" w14:textId="30875B62" w:rsidR="00AF6F8E" w:rsidRPr="00AF6F8E" w:rsidRDefault="00AF6F8E" w:rsidP="00AF6F8E">
            <w:pPr>
              <w:suppressAutoHyphens/>
              <w:kinsoku w:val="0"/>
              <w:wordWrap w:val="0"/>
              <w:autoSpaceDE w:val="0"/>
              <w:autoSpaceDN w:val="0"/>
              <w:spacing w:line="298" w:lineRule="exact"/>
              <w:ind w:firstLineChars="100" w:firstLine="234"/>
              <w:jc w:val="left"/>
              <w:rPr>
                <w:rFonts w:ascii="ＭＳ 明朝" w:cs="Times New Roman"/>
                <w:spacing w:val="4"/>
              </w:rPr>
            </w:pPr>
            <w:r w:rsidRPr="00AF6F8E">
              <w:rPr>
                <w:rFonts w:ascii="ＭＳ 明朝" w:cs="Times New Roman" w:hint="eastAsia"/>
                <w:spacing w:val="4"/>
              </w:rPr>
              <w:t>本事業では、通いの場参加に無関心な者や軽度の認知症を抱えた者などでも思わず参加したいと心が動く働きかけや、多くの対象者に対し拡げ定着させ</w:t>
            </w:r>
            <w:r w:rsidR="00176206">
              <w:rPr>
                <w:rFonts w:ascii="ＭＳ 明朝" w:cs="Times New Roman" w:hint="eastAsia"/>
                <w:spacing w:val="4"/>
              </w:rPr>
              <w:t>る</w:t>
            </w:r>
            <w:r w:rsidRPr="00AF6F8E">
              <w:rPr>
                <w:rFonts w:ascii="ＭＳ 明朝" w:cs="Times New Roman" w:hint="eastAsia"/>
                <w:spacing w:val="4"/>
              </w:rPr>
              <w:t>手法について、ヒアリング調査を実施し、効果的で効率的な働きかけ</w:t>
            </w:r>
            <w:r w:rsidR="00176206">
              <w:rPr>
                <w:rFonts w:ascii="ＭＳ 明朝" w:cs="Times New Roman" w:hint="eastAsia"/>
                <w:spacing w:val="4"/>
              </w:rPr>
              <w:t>に係る</w:t>
            </w:r>
            <w:r w:rsidRPr="00AF6F8E">
              <w:rPr>
                <w:rFonts w:ascii="ＭＳ 明朝" w:cs="Times New Roman" w:hint="eastAsia"/>
                <w:spacing w:val="4"/>
              </w:rPr>
              <w:t>具体的な普及啓発の手法を収集し提示することを目的とした。また、データを用いた参加勧奨の取組の効果評価について、実際の事例の分析を通じその手法</w:t>
            </w:r>
            <w:r>
              <w:rPr>
                <w:rFonts w:ascii="ＭＳ 明朝" w:cs="Times New Roman" w:hint="eastAsia"/>
                <w:spacing w:val="4"/>
              </w:rPr>
              <w:t>等</w:t>
            </w:r>
            <w:r w:rsidR="00176206">
              <w:rPr>
                <w:rFonts w:ascii="ＭＳ 明朝" w:cs="Times New Roman" w:hint="eastAsia"/>
                <w:spacing w:val="4"/>
              </w:rPr>
              <w:t>の</w:t>
            </w:r>
            <w:r w:rsidRPr="00AF6F8E">
              <w:rPr>
                <w:rFonts w:ascii="ＭＳ 明朝" w:cs="Times New Roman" w:hint="eastAsia"/>
                <w:spacing w:val="4"/>
              </w:rPr>
              <w:t>検討を目的とした</w:t>
            </w:r>
            <w:r>
              <w:rPr>
                <w:rFonts w:ascii="ＭＳ 明朝" w:cs="Times New Roman" w:hint="eastAsia"/>
                <w:spacing w:val="4"/>
              </w:rPr>
              <w:t>。</w:t>
            </w:r>
          </w:p>
          <w:p w14:paraId="171FC898" w14:textId="77777777" w:rsidR="00AF6F8E" w:rsidRPr="00176206" w:rsidRDefault="00AF6F8E" w:rsidP="00AF6F8E">
            <w:pPr>
              <w:suppressAutoHyphens/>
              <w:kinsoku w:val="0"/>
              <w:wordWrap w:val="0"/>
              <w:autoSpaceDE w:val="0"/>
              <w:autoSpaceDN w:val="0"/>
              <w:spacing w:line="298" w:lineRule="exact"/>
              <w:jc w:val="left"/>
              <w:rPr>
                <w:rFonts w:ascii="ＭＳ 明朝" w:cs="Times New Roman"/>
                <w:b/>
                <w:bCs/>
                <w:spacing w:val="4"/>
              </w:rPr>
            </w:pPr>
            <w:r w:rsidRPr="00176206">
              <w:rPr>
                <w:rFonts w:ascii="ＭＳ 明朝" w:cs="Times New Roman" w:hint="eastAsia"/>
                <w:b/>
                <w:bCs/>
                <w:spacing w:val="4"/>
              </w:rPr>
              <w:t>【事業内容】</w:t>
            </w:r>
          </w:p>
          <w:p w14:paraId="395F2F48" w14:textId="54C1494B" w:rsidR="00AF6F8E" w:rsidRDefault="00AF6F8E" w:rsidP="00AF6F8E">
            <w:pPr>
              <w:pStyle w:val="a7"/>
              <w:numPr>
                <w:ilvl w:val="0"/>
                <w:numId w:val="4"/>
              </w:numPr>
              <w:suppressAutoHyphens/>
              <w:kinsoku w:val="0"/>
              <w:wordWrap w:val="0"/>
              <w:autoSpaceDE w:val="0"/>
              <w:autoSpaceDN w:val="0"/>
              <w:spacing w:line="298" w:lineRule="exact"/>
              <w:ind w:leftChars="0"/>
              <w:jc w:val="left"/>
              <w:rPr>
                <w:rFonts w:ascii="ＭＳ 明朝" w:cs="Times New Roman"/>
                <w:spacing w:val="4"/>
              </w:rPr>
            </w:pPr>
            <w:r w:rsidRPr="00AF6F8E">
              <w:rPr>
                <w:rFonts w:ascii="ＭＳ 明朝" w:cs="Times New Roman" w:hint="eastAsia"/>
                <w:spacing w:val="4"/>
              </w:rPr>
              <w:t>ヒアリング調査：関東信越厚生局の管轄域の450市町村の中から、介護保険保険者努力支援交付金評価指標該当状況調査票集計表を用いて通いの場の参加率ならびに参加率の変化率で特徴的な自治体を選出し、最終的に同意を得られた10自治体をヒアリング調査対象とした。ヒアリング調査は、2024年10月～2025年1月にかけて現地にて行い、通いの場の参加勧奨への工夫</w:t>
            </w:r>
            <w:r>
              <w:rPr>
                <w:rFonts w:ascii="ＭＳ 明朝" w:cs="Times New Roman" w:hint="eastAsia"/>
                <w:spacing w:val="4"/>
              </w:rPr>
              <w:t>等を</w:t>
            </w:r>
            <w:r w:rsidRPr="00AF6F8E">
              <w:rPr>
                <w:rFonts w:ascii="ＭＳ 明朝" w:cs="Times New Roman" w:hint="eastAsia"/>
                <w:spacing w:val="4"/>
              </w:rPr>
              <w:t>聞き取った。</w:t>
            </w:r>
          </w:p>
          <w:p w14:paraId="13A5C29D" w14:textId="280192A2" w:rsidR="00AF6F8E" w:rsidRPr="00AF6F8E" w:rsidRDefault="00AF6F8E" w:rsidP="00AF6F8E">
            <w:pPr>
              <w:pStyle w:val="a7"/>
              <w:numPr>
                <w:ilvl w:val="0"/>
                <w:numId w:val="4"/>
              </w:numPr>
              <w:suppressAutoHyphens/>
              <w:kinsoku w:val="0"/>
              <w:wordWrap w:val="0"/>
              <w:autoSpaceDE w:val="0"/>
              <w:autoSpaceDN w:val="0"/>
              <w:spacing w:line="298" w:lineRule="exact"/>
              <w:ind w:leftChars="0"/>
              <w:jc w:val="left"/>
              <w:rPr>
                <w:rFonts w:ascii="ＭＳ 明朝" w:cs="Times New Roman"/>
                <w:spacing w:val="4"/>
              </w:rPr>
            </w:pPr>
            <w:r w:rsidRPr="00AF6F8E">
              <w:rPr>
                <w:rFonts w:ascii="ＭＳ 明朝" w:cs="Times New Roman" w:hint="eastAsia"/>
                <w:spacing w:val="4"/>
              </w:rPr>
              <w:t>東京都稲城市における参加勧奨例の評価：通いの場の参加勧奨に関する具体例の1つとして、事業実施の段階から2群に分けた勧奨文送付によるデータ蓄積を行っていた東京都稲城市の</w:t>
            </w:r>
            <w:r>
              <w:rPr>
                <w:rFonts w:ascii="ＭＳ 明朝" w:cs="Times New Roman" w:hint="eastAsia"/>
                <w:spacing w:val="4"/>
              </w:rPr>
              <w:t>、</w:t>
            </w:r>
            <w:r w:rsidRPr="00AF6F8E">
              <w:rPr>
                <w:rFonts w:ascii="ＭＳ 明朝" w:cs="Times New Roman" w:hint="eastAsia"/>
                <w:spacing w:val="4"/>
              </w:rPr>
              <w:t>手書き勧奨文送付の試み</w:t>
            </w:r>
            <w:r>
              <w:rPr>
                <w:rFonts w:ascii="ＭＳ 明朝" w:cs="Times New Roman" w:hint="eastAsia"/>
                <w:spacing w:val="4"/>
              </w:rPr>
              <w:t>の</w:t>
            </w:r>
            <w:r w:rsidRPr="00AF6F8E">
              <w:rPr>
                <w:rFonts w:ascii="ＭＳ 明朝" w:cs="Times New Roman" w:hint="eastAsia"/>
                <w:spacing w:val="4"/>
              </w:rPr>
              <w:t>集計と確認を行った。</w:t>
            </w:r>
          </w:p>
          <w:p w14:paraId="5927B243" w14:textId="77777777" w:rsidR="00AF6F8E" w:rsidRPr="00176206" w:rsidRDefault="00AF6F8E" w:rsidP="00AF6F8E">
            <w:pPr>
              <w:suppressAutoHyphens/>
              <w:kinsoku w:val="0"/>
              <w:wordWrap w:val="0"/>
              <w:autoSpaceDE w:val="0"/>
              <w:autoSpaceDN w:val="0"/>
              <w:spacing w:line="298" w:lineRule="exact"/>
              <w:jc w:val="left"/>
              <w:rPr>
                <w:rFonts w:ascii="ＭＳ 明朝" w:cs="Times New Roman"/>
                <w:b/>
                <w:bCs/>
                <w:spacing w:val="4"/>
              </w:rPr>
            </w:pPr>
            <w:r w:rsidRPr="00176206">
              <w:rPr>
                <w:rFonts w:ascii="ＭＳ 明朝" w:cs="Times New Roman" w:hint="eastAsia"/>
                <w:b/>
                <w:bCs/>
                <w:spacing w:val="4"/>
              </w:rPr>
              <w:t>【結果】</w:t>
            </w:r>
          </w:p>
          <w:p w14:paraId="62EE9B24" w14:textId="7897EEEC" w:rsidR="00AF6F8E" w:rsidRDefault="00AF6F8E" w:rsidP="00AF6F8E">
            <w:pPr>
              <w:pStyle w:val="a7"/>
              <w:numPr>
                <w:ilvl w:val="0"/>
                <w:numId w:val="5"/>
              </w:numPr>
              <w:suppressAutoHyphens/>
              <w:kinsoku w:val="0"/>
              <w:wordWrap w:val="0"/>
              <w:autoSpaceDE w:val="0"/>
              <w:autoSpaceDN w:val="0"/>
              <w:spacing w:line="298" w:lineRule="exact"/>
              <w:ind w:leftChars="0"/>
              <w:jc w:val="left"/>
              <w:rPr>
                <w:rFonts w:ascii="ＭＳ 明朝" w:cs="Times New Roman"/>
                <w:spacing w:val="4"/>
              </w:rPr>
            </w:pPr>
            <w:r w:rsidRPr="00AF6F8E">
              <w:rPr>
                <w:rFonts w:ascii="ＭＳ 明朝" w:cs="Times New Roman" w:hint="eastAsia"/>
                <w:spacing w:val="4"/>
              </w:rPr>
              <w:t>自治体の規模に関わらず実施されている通いの場への参加を促進する工夫とともに、小・中・大の自治体規模別で異なる方法で参加促進が進められていた。</w:t>
            </w:r>
          </w:p>
          <w:p w14:paraId="76C29602" w14:textId="2ED88A79" w:rsidR="00AF6F8E" w:rsidRDefault="00AF6F8E" w:rsidP="00AF6F8E">
            <w:pPr>
              <w:pStyle w:val="a7"/>
              <w:numPr>
                <w:ilvl w:val="0"/>
                <w:numId w:val="5"/>
              </w:numPr>
              <w:suppressAutoHyphens/>
              <w:kinsoku w:val="0"/>
              <w:wordWrap w:val="0"/>
              <w:autoSpaceDE w:val="0"/>
              <w:autoSpaceDN w:val="0"/>
              <w:spacing w:line="298" w:lineRule="exact"/>
              <w:ind w:leftChars="0"/>
              <w:jc w:val="left"/>
              <w:rPr>
                <w:rFonts w:ascii="ＭＳ 明朝" w:cs="Times New Roman"/>
                <w:spacing w:val="4"/>
              </w:rPr>
            </w:pPr>
            <w:r w:rsidRPr="00AF6F8E">
              <w:rPr>
                <w:rFonts w:ascii="ＭＳ 明朝" w:cs="Times New Roman" w:hint="eastAsia"/>
                <w:spacing w:val="4"/>
              </w:rPr>
              <w:t>共通して実施されていた工夫は、通いの場を展開する際に行うと効果的である基本的な工夫が挙げられていた。小規模自治体においては、きめ細かな立ち上げ支援や関係者との丁寧な連携が確認された。中規模自治体では、大規模自治体の効率性と小規模自治体のきめ細やかで丁寧な対応が混在しており、自治体によって多様な支援の工夫が展開されていた。大規模自治体では、民間企業やなど多くの団体との</w:t>
            </w:r>
            <w:r w:rsidR="00176206">
              <w:rPr>
                <w:rFonts w:ascii="ＭＳ 明朝" w:cs="Times New Roman" w:hint="eastAsia"/>
                <w:spacing w:val="4"/>
              </w:rPr>
              <w:t>調整</w:t>
            </w:r>
            <w:r w:rsidRPr="00AF6F8E">
              <w:rPr>
                <w:rFonts w:ascii="ＭＳ 明朝" w:cs="Times New Roman" w:hint="eastAsia"/>
                <w:spacing w:val="4"/>
              </w:rPr>
              <w:t>と情報整理を効果的に行って高齢者に提供していた。</w:t>
            </w:r>
          </w:p>
          <w:p w14:paraId="2201B414" w14:textId="579824C0" w:rsidR="00AF6F8E" w:rsidRPr="00AF6F8E" w:rsidRDefault="00AF6F8E" w:rsidP="00AF6F8E">
            <w:pPr>
              <w:pStyle w:val="a7"/>
              <w:numPr>
                <w:ilvl w:val="0"/>
                <w:numId w:val="5"/>
              </w:numPr>
              <w:suppressAutoHyphens/>
              <w:kinsoku w:val="0"/>
              <w:wordWrap w:val="0"/>
              <w:autoSpaceDE w:val="0"/>
              <w:autoSpaceDN w:val="0"/>
              <w:spacing w:line="298" w:lineRule="exact"/>
              <w:ind w:leftChars="0"/>
              <w:jc w:val="left"/>
              <w:rPr>
                <w:rFonts w:ascii="ＭＳ 明朝" w:cs="Times New Roman"/>
                <w:spacing w:val="4"/>
              </w:rPr>
            </w:pPr>
            <w:r w:rsidRPr="00AF6F8E">
              <w:rPr>
                <w:rFonts w:ascii="ＭＳ 明朝" w:cs="Times New Roman" w:hint="eastAsia"/>
                <w:spacing w:val="4"/>
              </w:rPr>
              <w:t>稲城市における参加勧奨事例の分析では、ワード勧奨文送付より手書き勧奨文送付の方が効果</w:t>
            </w:r>
            <w:r>
              <w:rPr>
                <w:rFonts w:ascii="ＭＳ 明朝" w:cs="Times New Roman" w:hint="eastAsia"/>
                <w:spacing w:val="4"/>
              </w:rPr>
              <w:t>は</w:t>
            </w:r>
            <w:r w:rsidRPr="00AF6F8E">
              <w:rPr>
                <w:rFonts w:ascii="ＭＳ 明朝" w:cs="Times New Roman" w:hint="eastAsia"/>
                <w:spacing w:val="4"/>
              </w:rPr>
              <w:t>高いという明確な結果は得られなかった。種類を問わず送付された勧奨文に反応した者は、主観的健康観、要支援・要介護リスク、うつがある者において多い傾向が見られた（有意差なし）。</w:t>
            </w:r>
          </w:p>
          <w:p w14:paraId="366625BA" w14:textId="77777777" w:rsidR="00AF6F8E" w:rsidRPr="00176206" w:rsidRDefault="00AF6F8E" w:rsidP="00AF6F8E">
            <w:pPr>
              <w:suppressAutoHyphens/>
              <w:kinsoku w:val="0"/>
              <w:wordWrap w:val="0"/>
              <w:autoSpaceDE w:val="0"/>
              <w:autoSpaceDN w:val="0"/>
              <w:spacing w:line="298" w:lineRule="exact"/>
              <w:jc w:val="left"/>
              <w:rPr>
                <w:rFonts w:ascii="ＭＳ 明朝" w:cs="Times New Roman"/>
                <w:b/>
                <w:bCs/>
                <w:spacing w:val="4"/>
              </w:rPr>
            </w:pPr>
            <w:r w:rsidRPr="00176206">
              <w:rPr>
                <w:rFonts w:ascii="ＭＳ 明朝" w:cs="Times New Roman" w:hint="eastAsia"/>
                <w:b/>
                <w:bCs/>
                <w:spacing w:val="4"/>
              </w:rPr>
              <w:t>【提言】</w:t>
            </w:r>
          </w:p>
          <w:p w14:paraId="07C22ED5" w14:textId="6E61BB43" w:rsidR="00AF6F8E" w:rsidRDefault="00AF6F8E" w:rsidP="00AF6F8E">
            <w:pPr>
              <w:pStyle w:val="a7"/>
              <w:numPr>
                <w:ilvl w:val="0"/>
                <w:numId w:val="6"/>
              </w:numPr>
              <w:suppressAutoHyphens/>
              <w:kinsoku w:val="0"/>
              <w:wordWrap w:val="0"/>
              <w:autoSpaceDE w:val="0"/>
              <w:autoSpaceDN w:val="0"/>
              <w:spacing w:line="298" w:lineRule="exact"/>
              <w:ind w:leftChars="0"/>
              <w:jc w:val="left"/>
              <w:rPr>
                <w:rFonts w:ascii="ＭＳ 明朝" w:cs="Times New Roman"/>
                <w:spacing w:val="4"/>
              </w:rPr>
            </w:pPr>
            <w:r w:rsidRPr="00AF6F8E">
              <w:rPr>
                <w:rFonts w:ascii="ＭＳ 明朝" w:cs="Times New Roman" w:hint="eastAsia"/>
                <w:spacing w:val="4"/>
              </w:rPr>
              <w:t>「共通の工夫」な</w:t>
            </w:r>
            <w:r w:rsidR="00B962CE">
              <w:rPr>
                <w:rFonts w:ascii="ＭＳ 明朝" w:cs="Times New Roman" w:hint="eastAsia"/>
                <w:spacing w:val="4"/>
              </w:rPr>
              <w:t>らびに「自治体規模別工夫」の組み合わせの活用が、普及啓発の手法</w:t>
            </w:r>
            <w:bookmarkStart w:id="0" w:name="_GoBack"/>
            <w:bookmarkEnd w:id="0"/>
            <w:r w:rsidRPr="00AF6F8E">
              <w:rPr>
                <w:rFonts w:ascii="ＭＳ 明朝" w:cs="Times New Roman" w:hint="eastAsia"/>
                <w:spacing w:val="4"/>
              </w:rPr>
              <w:t>として通いの場を展開する自治体の参考になると考える。</w:t>
            </w:r>
          </w:p>
          <w:p w14:paraId="3F8B6830" w14:textId="6E832813" w:rsidR="00AF6F8E" w:rsidRDefault="00AF6F8E" w:rsidP="00AF6F8E">
            <w:pPr>
              <w:pStyle w:val="a7"/>
              <w:numPr>
                <w:ilvl w:val="0"/>
                <w:numId w:val="6"/>
              </w:numPr>
              <w:suppressAutoHyphens/>
              <w:kinsoku w:val="0"/>
              <w:wordWrap w:val="0"/>
              <w:autoSpaceDE w:val="0"/>
              <w:autoSpaceDN w:val="0"/>
              <w:spacing w:line="298" w:lineRule="exact"/>
              <w:ind w:leftChars="0"/>
              <w:jc w:val="left"/>
              <w:rPr>
                <w:rFonts w:ascii="ＭＳ 明朝" w:cs="Times New Roman"/>
                <w:spacing w:val="4"/>
              </w:rPr>
            </w:pPr>
            <w:r w:rsidRPr="00AF6F8E">
              <w:rPr>
                <w:rFonts w:ascii="ＭＳ 明朝" w:cs="Times New Roman" w:hint="eastAsia"/>
                <w:spacing w:val="4"/>
              </w:rPr>
              <w:t>ポピュレーションアプローチとしての住民主体の通いの場の更なる発展が求められ、自治体の適切な支援の継続が重要である。</w:t>
            </w:r>
          </w:p>
          <w:p w14:paraId="6228C5DD" w14:textId="170715C0" w:rsidR="00AF6F8E" w:rsidRDefault="00AF6F8E" w:rsidP="00AF6F8E">
            <w:pPr>
              <w:pStyle w:val="a7"/>
              <w:numPr>
                <w:ilvl w:val="0"/>
                <w:numId w:val="6"/>
              </w:numPr>
              <w:suppressAutoHyphens/>
              <w:kinsoku w:val="0"/>
              <w:wordWrap w:val="0"/>
              <w:autoSpaceDE w:val="0"/>
              <w:autoSpaceDN w:val="0"/>
              <w:spacing w:line="298" w:lineRule="exact"/>
              <w:ind w:leftChars="0"/>
              <w:jc w:val="left"/>
              <w:rPr>
                <w:rFonts w:ascii="ＭＳ 明朝" w:cs="Times New Roman"/>
                <w:spacing w:val="4"/>
              </w:rPr>
            </w:pPr>
            <w:r w:rsidRPr="00AF6F8E">
              <w:rPr>
                <w:rFonts w:ascii="ＭＳ 明朝" w:cs="Times New Roman" w:hint="eastAsia"/>
                <w:spacing w:val="4"/>
              </w:rPr>
              <w:t>多様な場を高齢者の健康を促進する社会参加の手段として捉え、情報整理と提供でその参加を促進していくことが今後自治体には求められる。</w:t>
            </w:r>
          </w:p>
          <w:p w14:paraId="0DD28AC5" w14:textId="1420D481" w:rsidR="00DA01F5" w:rsidRPr="00AF6F8E" w:rsidRDefault="00AF6F8E" w:rsidP="00AF6F8E">
            <w:pPr>
              <w:pStyle w:val="a7"/>
              <w:numPr>
                <w:ilvl w:val="0"/>
                <w:numId w:val="6"/>
              </w:numPr>
              <w:suppressAutoHyphens/>
              <w:kinsoku w:val="0"/>
              <w:wordWrap w:val="0"/>
              <w:autoSpaceDE w:val="0"/>
              <w:autoSpaceDN w:val="0"/>
              <w:spacing w:line="298" w:lineRule="exact"/>
              <w:ind w:leftChars="0"/>
              <w:jc w:val="left"/>
              <w:rPr>
                <w:rFonts w:ascii="ＭＳ 明朝" w:cs="Times New Roman"/>
                <w:spacing w:val="4"/>
              </w:rPr>
            </w:pPr>
            <w:r w:rsidRPr="00AF6F8E">
              <w:rPr>
                <w:rFonts w:ascii="ＭＳ 明朝" w:cs="Times New Roman" w:hint="eastAsia"/>
                <w:spacing w:val="4"/>
              </w:rPr>
              <w:t>介護予防事業の効果検証において、時には専門家を活用しながら実施前からの評価準備を行うことが、効果的・効率的な政策実施のために行うPDCAサイクルの展開において非常に重要である</w:t>
            </w:r>
          </w:p>
        </w:tc>
      </w:tr>
    </w:tbl>
    <w:p w14:paraId="7F367937" w14:textId="77777777" w:rsidR="00DA01F5" w:rsidRDefault="00DA01F5" w:rsidP="00176206">
      <w:pPr>
        <w:overflowPunct/>
        <w:autoSpaceDE w:val="0"/>
        <w:autoSpaceDN w:val="0"/>
        <w:jc w:val="left"/>
        <w:textAlignment w:val="auto"/>
        <w:rPr>
          <w:rFonts w:ascii="ＭＳ 明朝" w:cs="Times New Roman"/>
          <w:spacing w:val="4"/>
        </w:rPr>
      </w:pPr>
    </w:p>
    <w:sectPr w:rsidR="00DA01F5">
      <w:type w:val="continuous"/>
      <w:pgSz w:w="11906" w:h="16838"/>
      <w:pgMar w:top="1700" w:right="1418" w:bottom="1700" w:left="1418" w:header="720" w:footer="720" w:gutter="0"/>
      <w:pgNumType w:start="1"/>
      <w:cols w:space="720"/>
      <w:noEndnote/>
      <w:docGrid w:type="linesAndChars" w:linePitch="29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E6345" w14:textId="77777777" w:rsidR="007D7FFE" w:rsidRDefault="007D7FFE">
      <w:r>
        <w:separator/>
      </w:r>
    </w:p>
  </w:endnote>
  <w:endnote w:type="continuationSeparator" w:id="0">
    <w:p w14:paraId="25CA3A49" w14:textId="77777777" w:rsidR="007D7FFE" w:rsidRDefault="007D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89FE9" w14:textId="77777777" w:rsidR="007D7FFE" w:rsidRDefault="007D7FFE">
      <w:r>
        <w:rPr>
          <w:rFonts w:ascii="ＭＳ 明朝" w:cs="Times New Roman"/>
          <w:color w:val="auto"/>
          <w:sz w:val="2"/>
          <w:szCs w:val="2"/>
        </w:rPr>
        <w:continuationSeparator/>
      </w:r>
    </w:p>
  </w:footnote>
  <w:footnote w:type="continuationSeparator" w:id="0">
    <w:p w14:paraId="371A516C" w14:textId="77777777" w:rsidR="007D7FFE" w:rsidRDefault="007D7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1C07"/>
    <w:multiLevelType w:val="hybridMultilevel"/>
    <w:tmpl w:val="FFFFFFFF"/>
    <w:lvl w:ilvl="0" w:tplc="EA58BFB8">
      <w:numFmt w:val="bullet"/>
      <w:lvlText w:val="•"/>
      <w:lvlJc w:val="left"/>
      <w:pPr>
        <w:ind w:left="440" w:hanging="440"/>
      </w:pPr>
      <w:rPr>
        <w:rFonts w:ascii="Arial" w:eastAsia="Times New Roman" w:hAnsi="Arial" w:hint="default"/>
        <w:b w:val="0"/>
        <w:i w:val="0"/>
        <w:spacing w:val="0"/>
        <w:w w:val="104"/>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267F36"/>
    <w:multiLevelType w:val="hybridMultilevel"/>
    <w:tmpl w:val="30B27BDE"/>
    <w:lvl w:ilvl="0" w:tplc="AA40DC06">
      <w:start w:val="2"/>
      <w:numFmt w:val="bullet"/>
      <w:lvlText w:val="・"/>
      <w:lvlJc w:val="left"/>
      <w:pPr>
        <w:ind w:left="440" w:hanging="44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E53550D"/>
    <w:multiLevelType w:val="hybridMultilevel"/>
    <w:tmpl w:val="FFFFFFFF"/>
    <w:lvl w:ilvl="0" w:tplc="00000001">
      <w:start w:val="1"/>
      <w:numFmt w:val="bullet"/>
      <w:lvlText w:val="•"/>
      <w:lvlJc w:val="left"/>
      <w:pPr>
        <w:ind w:left="440" w:hanging="440"/>
      </w:p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FED4D8F"/>
    <w:multiLevelType w:val="hybridMultilevel"/>
    <w:tmpl w:val="FFFFFFFF"/>
    <w:lvl w:ilvl="0" w:tplc="EA58BFB8">
      <w:numFmt w:val="bullet"/>
      <w:lvlText w:val="•"/>
      <w:lvlJc w:val="left"/>
      <w:pPr>
        <w:ind w:left="440" w:hanging="440"/>
      </w:pPr>
      <w:rPr>
        <w:rFonts w:ascii="Arial" w:eastAsia="Times New Roman" w:hAnsi="Arial" w:hint="default"/>
        <w:b w:val="0"/>
        <w:i w:val="0"/>
        <w:spacing w:val="0"/>
        <w:w w:val="104"/>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0C52262"/>
    <w:multiLevelType w:val="hybridMultilevel"/>
    <w:tmpl w:val="6A223006"/>
    <w:lvl w:ilvl="0" w:tplc="00000001">
      <w:start w:val="1"/>
      <w:numFmt w:val="bullet"/>
      <w:lvlText w:val="•"/>
      <w:lvlJc w:val="left"/>
      <w:pPr>
        <w:ind w:left="440" w:hanging="440"/>
      </w:p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6DF2C13"/>
    <w:multiLevelType w:val="hybridMultilevel"/>
    <w:tmpl w:val="2DC41F40"/>
    <w:lvl w:ilvl="0" w:tplc="00000001">
      <w:start w:val="1"/>
      <w:numFmt w:val="bullet"/>
      <w:lvlText w:val="•"/>
      <w:lvlJc w:val="left"/>
      <w:pPr>
        <w:ind w:left="440" w:hanging="440"/>
      </w:p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08"/>
  <w:hyphenationZone w:val="0"/>
  <w:drawingGridHorizontalSpacing w:val="1228"/>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F5"/>
    <w:rsid w:val="0008268D"/>
    <w:rsid w:val="00176206"/>
    <w:rsid w:val="0018221A"/>
    <w:rsid w:val="00301A54"/>
    <w:rsid w:val="003756FE"/>
    <w:rsid w:val="004B2C42"/>
    <w:rsid w:val="00555F38"/>
    <w:rsid w:val="005F323E"/>
    <w:rsid w:val="006229FD"/>
    <w:rsid w:val="00641CB1"/>
    <w:rsid w:val="006B236C"/>
    <w:rsid w:val="006B535F"/>
    <w:rsid w:val="00713CDC"/>
    <w:rsid w:val="00716B83"/>
    <w:rsid w:val="00726AC5"/>
    <w:rsid w:val="007D7FFE"/>
    <w:rsid w:val="00961AD1"/>
    <w:rsid w:val="00992DC2"/>
    <w:rsid w:val="00AF6F8E"/>
    <w:rsid w:val="00B962CE"/>
    <w:rsid w:val="00CD530B"/>
    <w:rsid w:val="00D34FFB"/>
    <w:rsid w:val="00DA01F5"/>
    <w:rsid w:val="00DA5D22"/>
    <w:rsid w:val="00E85F37"/>
    <w:rsid w:val="00ED2C3D"/>
    <w:rsid w:val="00F81A08"/>
    <w:rsid w:val="00FB4BAB"/>
    <w:rsid w:val="00FC528C"/>
    <w:rsid w:val="00FD2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307B455"/>
  <w14:defaultImageDpi w14:val="0"/>
  <w15:docId w15:val="{C0A160B5-A289-40A9-A3B6-334019A7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F5"/>
    <w:pPr>
      <w:tabs>
        <w:tab w:val="center" w:pos="4252"/>
        <w:tab w:val="right" w:pos="8504"/>
      </w:tabs>
      <w:snapToGrid w:val="0"/>
    </w:pPr>
  </w:style>
  <w:style w:type="character" w:customStyle="1" w:styleId="a4">
    <w:name w:val="ヘッダー (文字)"/>
    <w:basedOn w:val="a0"/>
    <w:link w:val="a3"/>
    <w:uiPriority w:val="99"/>
    <w:locked/>
    <w:rsid w:val="00DA01F5"/>
    <w:rPr>
      <w:rFonts w:cs="ＭＳ 明朝"/>
      <w:color w:val="000000"/>
      <w:kern w:val="0"/>
      <w:sz w:val="22"/>
    </w:rPr>
  </w:style>
  <w:style w:type="paragraph" w:styleId="a5">
    <w:name w:val="footer"/>
    <w:basedOn w:val="a"/>
    <w:link w:val="a6"/>
    <w:uiPriority w:val="99"/>
    <w:unhideWhenUsed/>
    <w:rsid w:val="00DA01F5"/>
    <w:pPr>
      <w:tabs>
        <w:tab w:val="center" w:pos="4252"/>
        <w:tab w:val="right" w:pos="8504"/>
      </w:tabs>
      <w:snapToGrid w:val="0"/>
    </w:pPr>
  </w:style>
  <w:style w:type="character" w:customStyle="1" w:styleId="a6">
    <w:name w:val="フッター (文字)"/>
    <w:basedOn w:val="a0"/>
    <w:link w:val="a5"/>
    <w:uiPriority w:val="99"/>
    <w:locked/>
    <w:rsid w:val="00DA01F5"/>
    <w:rPr>
      <w:rFonts w:cs="ＭＳ 明朝"/>
      <w:color w:val="000000"/>
      <w:kern w:val="0"/>
      <w:sz w:val="22"/>
    </w:rPr>
  </w:style>
  <w:style w:type="paragraph" w:styleId="a7">
    <w:name w:val="List Paragraph"/>
    <w:basedOn w:val="a"/>
    <w:uiPriority w:val="34"/>
    <w:qFormat/>
    <w:rsid w:val="00AF6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前田 梨沙</cp:lastModifiedBy>
  <cp:revision>4</cp:revision>
  <cp:lastPrinted>2013-05-31T02:52:00Z</cp:lastPrinted>
  <dcterms:created xsi:type="dcterms:W3CDTF">2025-04-07T11:00:00Z</dcterms:created>
  <dcterms:modified xsi:type="dcterms:W3CDTF">2025-04-08T07:29:00Z</dcterms:modified>
</cp:coreProperties>
</file>